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158" w:rsidRDefault="00103158" w:rsidP="00103158">
      <w:pPr>
        <w:jc w:val="center"/>
        <w:rPr>
          <w:b/>
        </w:rPr>
      </w:pPr>
      <w:r w:rsidRPr="007839A8">
        <w:rPr>
          <w:b/>
        </w:rPr>
        <w:t>ПАСПОРТ</w:t>
      </w:r>
    </w:p>
    <w:p w:rsidR="00103158" w:rsidRPr="007839A8" w:rsidRDefault="00103158" w:rsidP="00103158">
      <w:pPr>
        <w:spacing w:line="240" w:lineRule="atLeast"/>
        <w:jc w:val="center"/>
        <w:rPr>
          <w:b/>
        </w:rPr>
      </w:pPr>
      <w:r w:rsidRPr="007839A8">
        <w:rPr>
          <w:b/>
        </w:rPr>
        <w:t>муниципальной программы</w:t>
      </w:r>
    </w:p>
    <w:p w:rsidR="00103158" w:rsidRPr="007839A8" w:rsidRDefault="00103158" w:rsidP="00103158">
      <w:pPr>
        <w:spacing w:line="240" w:lineRule="atLeast"/>
        <w:jc w:val="center"/>
        <w:rPr>
          <w:b/>
        </w:rPr>
      </w:pPr>
      <w:r>
        <w:rPr>
          <w:b/>
        </w:rPr>
        <w:t xml:space="preserve">«Муниципальное управление </w:t>
      </w:r>
    </w:p>
    <w:p w:rsidR="00103158" w:rsidRPr="007839A8" w:rsidRDefault="00103158" w:rsidP="00103158">
      <w:pPr>
        <w:spacing w:line="240" w:lineRule="atLeast"/>
        <w:jc w:val="center"/>
        <w:rPr>
          <w:b/>
        </w:rPr>
      </w:pPr>
      <w:r w:rsidRPr="007839A8">
        <w:rPr>
          <w:b/>
        </w:rPr>
        <w:t xml:space="preserve">в Лахденпохском муниципальном </w:t>
      </w:r>
      <w:r>
        <w:rPr>
          <w:b/>
        </w:rPr>
        <w:t>округе»</w:t>
      </w:r>
      <w:r w:rsidRPr="007839A8">
        <w:rPr>
          <w:b/>
        </w:rPr>
        <w:t xml:space="preserve"> </w:t>
      </w:r>
    </w:p>
    <w:p w:rsidR="00103158" w:rsidRPr="007839A8" w:rsidRDefault="00103158" w:rsidP="00103158">
      <w:pPr>
        <w:spacing w:line="240" w:lineRule="atLeast"/>
        <w:jc w:val="center"/>
        <w:rPr>
          <w:b/>
        </w:rPr>
      </w:pPr>
    </w:p>
    <w:p w:rsidR="00103158" w:rsidRDefault="00103158" w:rsidP="00103158">
      <w:pPr>
        <w:spacing w:line="240" w:lineRule="atLeast"/>
        <w:jc w:val="center"/>
        <w:rPr>
          <w:b/>
          <w:sz w:val="26"/>
          <w:szCs w:val="26"/>
        </w:rPr>
      </w:pPr>
    </w:p>
    <w:tbl>
      <w:tblPr>
        <w:tblW w:w="9570" w:type="dxa"/>
        <w:tblLook w:val="0000" w:firstRow="0" w:lastRow="0" w:firstColumn="0" w:lastColumn="0" w:noHBand="0" w:noVBand="0"/>
      </w:tblPr>
      <w:tblGrid>
        <w:gridCol w:w="2943"/>
        <w:gridCol w:w="6627"/>
      </w:tblGrid>
      <w:tr w:rsidR="00103158" w:rsidTr="00A322A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Наименование</w:t>
            </w:r>
          </w:p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Программы</w:t>
            </w:r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71203" w:rsidRDefault="00103158" w:rsidP="00A322AB">
            <w:pPr>
              <w:spacing w:line="240" w:lineRule="atLeast"/>
              <w:jc w:val="both"/>
            </w:pPr>
            <w:r w:rsidRPr="00771203">
              <w:t>Муниципальное управление в Лахденпохском муниципальном округе</w:t>
            </w:r>
          </w:p>
        </w:tc>
      </w:tr>
      <w:tr w:rsidR="00103158" w:rsidTr="00A322A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Ответственный</w:t>
            </w:r>
          </w:p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исполнитель</w:t>
            </w:r>
          </w:p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программы</w:t>
            </w:r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839A8" w:rsidRDefault="00103158" w:rsidP="00F63B5D">
            <w:pPr>
              <w:spacing w:line="240" w:lineRule="atLeast"/>
              <w:jc w:val="both"/>
            </w:pPr>
            <w:r w:rsidRPr="007839A8">
              <w:t xml:space="preserve">Администрация Лахденпохского муниципального района </w:t>
            </w:r>
            <w:r>
              <w:t>(Финансовое управление</w:t>
            </w:r>
            <w:r w:rsidRPr="007839A8">
              <w:t>)</w:t>
            </w:r>
          </w:p>
        </w:tc>
      </w:tr>
      <w:tr w:rsidR="00103158" w:rsidTr="00A322A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Соисполнители</w:t>
            </w:r>
          </w:p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Программы</w:t>
            </w:r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839A8" w:rsidRDefault="00103158" w:rsidP="00A322AB">
            <w:pPr>
              <w:spacing w:line="240" w:lineRule="atLeast"/>
              <w:jc w:val="both"/>
            </w:pPr>
            <w:r>
              <w:t>Отдел строительства и земельных отношений, отдел экономики и инвестиционной политики, управление делами</w:t>
            </w:r>
          </w:p>
        </w:tc>
      </w:tr>
      <w:tr w:rsidR="00103158" w:rsidTr="00A322AB">
        <w:trPr>
          <w:trHeight w:val="908"/>
        </w:trPr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>
              <w:rPr>
                <w:b/>
              </w:rPr>
              <w:t>Участники программы</w:t>
            </w:r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42657C" w:rsidRDefault="00103158" w:rsidP="00A322AB">
            <w:pPr>
              <w:pStyle w:val="Default"/>
              <w:jc w:val="both"/>
            </w:pPr>
            <w:r w:rsidRPr="00D93D69">
              <w:t xml:space="preserve"> МКУ «</w:t>
            </w:r>
            <w:r>
              <w:t>Хозяйственное управление</w:t>
            </w:r>
            <w:r w:rsidRPr="00D93D69">
              <w:t>»</w:t>
            </w:r>
            <w:r>
              <w:t>, МКУ «Централизованная бухгалтерия Лахденпохского района»</w:t>
            </w:r>
          </w:p>
        </w:tc>
      </w:tr>
      <w:tr w:rsidR="00103158" w:rsidTr="00A322AB">
        <w:trPr>
          <w:trHeight w:val="908"/>
        </w:trPr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Цели Программы</w:t>
            </w:r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007DDC" w:rsidRDefault="00103158" w:rsidP="00A322AB">
            <w:pPr>
              <w:pStyle w:val="Default"/>
              <w:jc w:val="both"/>
              <w:rPr>
                <w:bCs/>
              </w:rPr>
            </w:pPr>
            <w:r w:rsidRPr="00007DDC">
              <w:rPr>
                <w:bCs/>
              </w:rPr>
              <w:t xml:space="preserve">Эффективное функционирование системы муниципального управления в Администрации </w:t>
            </w:r>
            <w:r>
              <w:rPr>
                <w:bCs/>
              </w:rPr>
              <w:t>Лахденпохского муниципального</w:t>
            </w:r>
            <w:r w:rsidRPr="00007DDC">
              <w:rPr>
                <w:bCs/>
              </w:rPr>
              <w:t xml:space="preserve"> округа</w:t>
            </w:r>
          </w:p>
          <w:p w:rsidR="00103158" w:rsidRPr="007839A8" w:rsidRDefault="00103158" w:rsidP="00A322AB">
            <w:pPr>
              <w:pStyle w:val="Default"/>
              <w:jc w:val="both"/>
            </w:pPr>
          </w:p>
        </w:tc>
      </w:tr>
      <w:tr w:rsidR="00103158" w:rsidTr="00A322AB">
        <w:trPr>
          <w:trHeight w:val="350"/>
        </w:trPr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Задачи Программы</w:t>
            </w:r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2F5C28" w:rsidRDefault="00103158" w:rsidP="00A322AB">
            <w:pPr>
              <w:pStyle w:val="Default"/>
              <w:jc w:val="both"/>
            </w:pPr>
            <w:r>
              <w:t>1.</w:t>
            </w:r>
            <w:r w:rsidRPr="002F5C28">
              <w:t xml:space="preserve"> Обеспечение долговой устойчивости </w:t>
            </w:r>
            <w:r w:rsidRPr="002F5C28">
              <w:rPr>
                <w:bCs/>
              </w:rPr>
              <w:t>Лахденпохского муниципального</w:t>
            </w:r>
            <w:r w:rsidRPr="002F5C28">
              <w:t xml:space="preserve"> округа посредством проведения эффективной долговой политики.</w:t>
            </w:r>
          </w:p>
          <w:p w:rsidR="00103158" w:rsidRPr="002F5C28" w:rsidRDefault="00103158" w:rsidP="00A322AB">
            <w:pPr>
              <w:pStyle w:val="Default"/>
              <w:jc w:val="both"/>
            </w:pPr>
            <w:r w:rsidRPr="002F5C28">
              <w:t xml:space="preserve">2. Повышение эффективности деятельности Администрации </w:t>
            </w:r>
            <w:r w:rsidRPr="002F5C28">
              <w:rPr>
                <w:bCs/>
              </w:rPr>
              <w:t xml:space="preserve">Лахденпохского муниципального </w:t>
            </w:r>
            <w:r w:rsidRPr="002F5C28">
              <w:t>округа по реализации полномочий по решению вопросов местного значения.</w:t>
            </w:r>
          </w:p>
          <w:p w:rsidR="00103158" w:rsidRPr="002F5C28" w:rsidRDefault="00103158" w:rsidP="00A322AB">
            <w:pPr>
              <w:pStyle w:val="Default"/>
              <w:jc w:val="both"/>
            </w:pPr>
            <w:r w:rsidRPr="002F5C28">
              <w:t xml:space="preserve">3. Повышение эффективности деятельности Администрации </w:t>
            </w:r>
            <w:r w:rsidRPr="002F5C28">
              <w:rPr>
                <w:bCs/>
              </w:rPr>
              <w:t xml:space="preserve">Лахденпохского муниципального </w:t>
            </w:r>
            <w:r w:rsidRPr="002F5C28">
              <w:t xml:space="preserve">округа на основе поддержки и </w:t>
            </w:r>
            <w:proofErr w:type="gramStart"/>
            <w:r w:rsidRPr="002F5C28">
              <w:t>внедрения</w:t>
            </w:r>
            <w:proofErr w:type="gramEnd"/>
            <w:r w:rsidRPr="002F5C28">
              <w:t xml:space="preserve"> современных информационно-коммуникационных средств.</w:t>
            </w:r>
          </w:p>
          <w:p w:rsidR="00103158" w:rsidRPr="007839A8" w:rsidRDefault="00103158" w:rsidP="00A322AB">
            <w:pPr>
              <w:pStyle w:val="Default"/>
              <w:jc w:val="both"/>
            </w:pPr>
            <w:r w:rsidRPr="002F5C28">
              <w:t xml:space="preserve"> </w:t>
            </w:r>
          </w:p>
        </w:tc>
      </w:tr>
      <w:tr w:rsidR="00103158" w:rsidTr="00A322A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E140F" w:rsidRDefault="00103158" w:rsidP="00A322AB">
            <w:pPr>
              <w:spacing w:line="240" w:lineRule="atLeast"/>
              <w:rPr>
                <w:b/>
              </w:rPr>
            </w:pPr>
            <w:r w:rsidRPr="007E140F">
              <w:rPr>
                <w:b/>
              </w:rPr>
              <w:t>Целевые</w:t>
            </w:r>
          </w:p>
          <w:p w:rsidR="00103158" w:rsidRPr="007E140F" w:rsidRDefault="00103158" w:rsidP="00A322AB">
            <w:pPr>
              <w:spacing w:line="240" w:lineRule="atLeast"/>
              <w:rPr>
                <w:b/>
              </w:rPr>
            </w:pPr>
            <w:r w:rsidRPr="007E140F">
              <w:rPr>
                <w:b/>
              </w:rPr>
              <w:t>индикаторы</w:t>
            </w:r>
          </w:p>
          <w:p w:rsidR="00103158" w:rsidRPr="007E140F" w:rsidRDefault="00103158" w:rsidP="00A322AB">
            <w:pPr>
              <w:spacing w:line="240" w:lineRule="atLeast"/>
              <w:rPr>
                <w:b/>
              </w:rPr>
            </w:pPr>
            <w:r w:rsidRPr="007E140F">
              <w:rPr>
                <w:b/>
              </w:rPr>
              <w:t xml:space="preserve">Программы </w:t>
            </w:r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E140F" w:rsidRDefault="00103158" w:rsidP="00A322AB">
            <w:pPr>
              <w:jc w:val="both"/>
            </w:pPr>
            <w:r w:rsidRPr="007E140F">
              <w:t>1. Удовлетворенность населения деятельностью органов местного самоуправления Лахденпохского муниципального округа;</w:t>
            </w:r>
          </w:p>
          <w:p w:rsidR="00103158" w:rsidRPr="007E140F" w:rsidRDefault="00103158" w:rsidP="00A322AB">
            <w:pPr>
              <w:jc w:val="both"/>
            </w:pPr>
            <w:r w:rsidRPr="007E140F">
              <w:t>2. Уровень долговой устойчивости Лахденпохского муниципального района.</w:t>
            </w:r>
          </w:p>
        </w:tc>
      </w:tr>
      <w:tr w:rsidR="00103158" w:rsidTr="00A322A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121EA7" w:rsidRDefault="00103158" w:rsidP="00A322AB">
            <w:pPr>
              <w:spacing w:line="240" w:lineRule="atLeast"/>
              <w:rPr>
                <w:b/>
              </w:rPr>
            </w:pPr>
            <w:r w:rsidRPr="00121EA7">
              <w:rPr>
                <w:b/>
              </w:rPr>
              <w:t>Конечные</w:t>
            </w:r>
          </w:p>
          <w:p w:rsidR="00103158" w:rsidRPr="00121EA7" w:rsidRDefault="00103158" w:rsidP="00A322AB">
            <w:pPr>
              <w:spacing w:line="240" w:lineRule="atLeast"/>
              <w:rPr>
                <w:b/>
              </w:rPr>
            </w:pPr>
            <w:r w:rsidRPr="00121EA7">
              <w:rPr>
                <w:b/>
              </w:rPr>
              <w:t>результаты</w:t>
            </w:r>
          </w:p>
          <w:p w:rsidR="00103158" w:rsidRPr="00121EA7" w:rsidRDefault="00103158" w:rsidP="00A322AB">
            <w:pPr>
              <w:spacing w:line="240" w:lineRule="atLeast"/>
              <w:rPr>
                <w:b/>
              </w:rPr>
            </w:pPr>
            <w:r w:rsidRPr="00121EA7">
              <w:rPr>
                <w:b/>
              </w:rPr>
              <w:t>реализации</w:t>
            </w:r>
          </w:p>
          <w:p w:rsidR="00103158" w:rsidRPr="00121EA7" w:rsidRDefault="00103158" w:rsidP="00A322AB">
            <w:pPr>
              <w:spacing w:line="240" w:lineRule="atLeast"/>
              <w:rPr>
                <w:b/>
              </w:rPr>
            </w:pPr>
            <w:r w:rsidRPr="00121EA7">
              <w:rPr>
                <w:b/>
              </w:rPr>
              <w:t>Программы</w:t>
            </w:r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121EA7" w:rsidRDefault="00103158" w:rsidP="00A322AB">
            <w:pPr>
              <w:spacing w:line="240" w:lineRule="atLeast"/>
              <w:jc w:val="both"/>
            </w:pPr>
            <w:r w:rsidRPr="00121EA7">
              <w:t>1. Рост удовлетворенности населения деятельностью органов местного самоуправления Лахденпохского муниципального округа на 10 процентов</w:t>
            </w:r>
          </w:p>
          <w:p w:rsidR="00103158" w:rsidRPr="00121EA7" w:rsidRDefault="00103158" w:rsidP="00A322AB">
            <w:pPr>
              <w:spacing w:line="240" w:lineRule="atLeast"/>
              <w:jc w:val="both"/>
            </w:pPr>
            <w:r w:rsidRPr="00121EA7">
              <w:t xml:space="preserve">2. Сохранение высокого уровня долговой устойчивости Лахденпохского муниципального округа </w:t>
            </w:r>
          </w:p>
        </w:tc>
      </w:tr>
      <w:tr w:rsidR="00103158" w:rsidTr="00A322A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Сроки реализации</w:t>
            </w:r>
          </w:p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 xml:space="preserve">Программы </w:t>
            </w:r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839A8" w:rsidRDefault="00103158" w:rsidP="00A322AB">
            <w:pPr>
              <w:spacing w:line="240" w:lineRule="atLeast"/>
              <w:jc w:val="both"/>
            </w:pPr>
            <w:r w:rsidRPr="007839A8">
              <w:t>20</w:t>
            </w:r>
            <w:r>
              <w:t>26</w:t>
            </w:r>
            <w:r w:rsidRPr="007839A8">
              <w:t>-202</w:t>
            </w:r>
            <w:r>
              <w:t>8</w:t>
            </w:r>
            <w:r w:rsidRPr="007839A8">
              <w:t xml:space="preserve"> годы без выделения этапов.</w:t>
            </w:r>
          </w:p>
          <w:p w:rsidR="00103158" w:rsidRPr="007839A8" w:rsidRDefault="00103158" w:rsidP="00A322AB">
            <w:pPr>
              <w:spacing w:line="240" w:lineRule="atLeast"/>
              <w:jc w:val="both"/>
              <w:rPr>
                <w:i/>
              </w:rPr>
            </w:pPr>
          </w:p>
        </w:tc>
      </w:tr>
      <w:tr w:rsidR="00103158" w:rsidTr="00A322AB"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Финансовое обеспечение муниципальной программы и источники</w:t>
            </w:r>
          </w:p>
          <w:p w:rsidR="00103158" w:rsidRPr="007839A8" w:rsidRDefault="00103158" w:rsidP="00A322AB">
            <w:pPr>
              <w:spacing w:line="240" w:lineRule="atLeast"/>
              <w:rPr>
                <w:b/>
              </w:rPr>
            </w:pPr>
            <w:r w:rsidRPr="007839A8">
              <w:rPr>
                <w:b/>
              </w:rPr>
              <w:t>финансирования</w:t>
            </w:r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3158" w:rsidRPr="00AF04A7" w:rsidRDefault="00103158" w:rsidP="00A322AB">
            <w:pPr>
              <w:suppressAutoHyphens/>
              <w:jc w:val="both"/>
              <w:rPr>
                <w:lang w:eastAsia="zh-CN"/>
              </w:rPr>
            </w:pPr>
            <w:r w:rsidRPr="00AF04A7">
              <w:rPr>
                <w:lang w:eastAsia="zh-CN"/>
              </w:rPr>
              <w:t>Объем бюджетных ассигнований на реализацию муниципальной программы за счет всех источников финансирования составляет  </w:t>
            </w:r>
            <w:r>
              <w:rPr>
                <w:lang w:eastAsia="zh-CN"/>
              </w:rPr>
              <w:t>2</w:t>
            </w:r>
            <w:r w:rsidR="00E002D0">
              <w:rPr>
                <w:lang w:eastAsia="zh-CN"/>
              </w:rPr>
              <w:t>27</w:t>
            </w:r>
            <w:r>
              <w:rPr>
                <w:lang w:eastAsia="zh-CN"/>
              </w:rPr>
              <w:t xml:space="preserve"> 3</w:t>
            </w:r>
            <w:r w:rsidR="00E002D0">
              <w:rPr>
                <w:lang w:eastAsia="zh-CN"/>
              </w:rPr>
              <w:t>15</w:t>
            </w:r>
            <w:r>
              <w:rPr>
                <w:lang w:eastAsia="zh-CN"/>
              </w:rPr>
              <w:t>,</w:t>
            </w:r>
            <w:r w:rsidR="00E002D0">
              <w:rPr>
                <w:lang w:eastAsia="zh-CN"/>
              </w:rPr>
              <w:t>42</w:t>
            </w:r>
            <w:r w:rsidRPr="00AF04A7">
              <w:rPr>
                <w:lang w:eastAsia="zh-CN"/>
              </w:rPr>
              <w:t xml:space="preserve"> тыс. рублей, в том числе:</w:t>
            </w:r>
          </w:p>
          <w:p w:rsidR="00103158" w:rsidRPr="00AF04A7" w:rsidRDefault="00103158" w:rsidP="00A322AB">
            <w:pPr>
              <w:suppressAutoHyphens/>
              <w:jc w:val="both"/>
              <w:rPr>
                <w:lang w:eastAsia="zh-CN"/>
              </w:rPr>
            </w:pPr>
            <w:r w:rsidRPr="00AF04A7">
              <w:rPr>
                <w:lang w:eastAsia="zh-CN"/>
              </w:rPr>
              <w:t xml:space="preserve">за счет средств местного бюджета – </w:t>
            </w:r>
            <w:r w:rsidR="00E002D0">
              <w:rPr>
                <w:lang w:eastAsia="zh-CN"/>
              </w:rPr>
              <w:t>220 102,02</w:t>
            </w:r>
            <w:r w:rsidRPr="00AF04A7">
              <w:rPr>
                <w:lang w:eastAsia="zh-CN"/>
              </w:rPr>
              <w:t xml:space="preserve"> тыс. рублей, в том числе по годам:</w:t>
            </w:r>
          </w:p>
          <w:p w:rsidR="00103158" w:rsidRPr="00AF04A7" w:rsidRDefault="00103158" w:rsidP="00A322AB">
            <w:pPr>
              <w:suppressAutoHyphens/>
              <w:jc w:val="both"/>
              <w:rPr>
                <w:lang w:eastAsia="zh-CN"/>
              </w:rPr>
            </w:pPr>
            <w:r w:rsidRPr="00AF04A7">
              <w:rPr>
                <w:lang w:eastAsia="zh-CN"/>
              </w:rPr>
              <w:t>202</w:t>
            </w:r>
            <w:r>
              <w:rPr>
                <w:lang w:eastAsia="zh-CN"/>
              </w:rPr>
              <w:t>6</w:t>
            </w:r>
            <w:r w:rsidRPr="00AF04A7">
              <w:rPr>
                <w:lang w:eastAsia="zh-CN"/>
              </w:rPr>
              <w:t xml:space="preserve"> год – </w:t>
            </w:r>
            <w:r w:rsidR="00E002D0">
              <w:rPr>
                <w:lang w:eastAsia="zh-CN"/>
              </w:rPr>
              <w:t>75 740,04</w:t>
            </w:r>
            <w:r w:rsidRPr="00AF04A7">
              <w:rPr>
                <w:lang w:eastAsia="zh-CN"/>
              </w:rPr>
              <w:t xml:space="preserve"> тыс. рублей;</w:t>
            </w:r>
          </w:p>
          <w:p w:rsidR="00103158" w:rsidRPr="00AF04A7" w:rsidRDefault="00103158" w:rsidP="00A322AB">
            <w:pPr>
              <w:suppressAutoHyphens/>
              <w:jc w:val="both"/>
              <w:rPr>
                <w:lang w:eastAsia="zh-CN"/>
              </w:rPr>
            </w:pPr>
            <w:r w:rsidRPr="00AF04A7">
              <w:rPr>
                <w:lang w:eastAsia="zh-CN"/>
              </w:rPr>
              <w:t>202</w:t>
            </w:r>
            <w:r>
              <w:rPr>
                <w:lang w:eastAsia="zh-CN"/>
              </w:rPr>
              <w:t>7</w:t>
            </w:r>
            <w:r w:rsidRPr="00AF04A7">
              <w:rPr>
                <w:lang w:eastAsia="zh-CN"/>
              </w:rPr>
              <w:t xml:space="preserve"> год – </w:t>
            </w:r>
            <w:r w:rsidR="00E002D0">
              <w:rPr>
                <w:lang w:eastAsia="zh-CN"/>
              </w:rPr>
              <w:t>75 470,94</w:t>
            </w:r>
            <w:r w:rsidRPr="00AF04A7">
              <w:rPr>
                <w:lang w:eastAsia="zh-CN"/>
              </w:rPr>
              <w:t xml:space="preserve"> тыс. рублей;</w:t>
            </w:r>
          </w:p>
          <w:p w:rsidR="00103158" w:rsidRPr="00AF04A7" w:rsidRDefault="00103158" w:rsidP="00A322AB">
            <w:pPr>
              <w:suppressAutoHyphens/>
              <w:jc w:val="both"/>
              <w:rPr>
                <w:lang w:eastAsia="zh-CN"/>
              </w:rPr>
            </w:pPr>
            <w:r w:rsidRPr="00AF04A7">
              <w:rPr>
                <w:lang w:eastAsia="zh-CN"/>
              </w:rPr>
              <w:lastRenderedPageBreak/>
              <w:t>202</w:t>
            </w:r>
            <w:r>
              <w:rPr>
                <w:lang w:eastAsia="zh-CN"/>
              </w:rPr>
              <w:t>8</w:t>
            </w:r>
            <w:r w:rsidRPr="00AF04A7">
              <w:rPr>
                <w:lang w:eastAsia="zh-CN"/>
              </w:rPr>
              <w:t xml:space="preserve"> год – </w:t>
            </w:r>
            <w:r w:rsidR="00E002D0">
              <w:rPr>
                <w:lang w:eastAsia="zh-CN"/>
              </w:rPr>
              <w:t>68 891,04</w:t>
            </w:r>
            <w:r w:rsidRPr="00BD095D">
              <w:rPr>
                <w:lang w:eastAsia="zh-CN"/>
              </w:rPr>
              <w:t xml:space="preserve"> </w:t>
            </w:r>
            <w:r w:rsidRPr="00AF04A7">
              <w:rPr>
                <w:lang w:eastAsia="zh-CN"/>
              </w:rPr>
              <w:t>тыс. рублей;</w:t>
            </w:r>
          </w:p>
          <w:p w:rsidR="00103158" w:rsidRPr="00AF04A7" w:rsidRDefault="00103158" w:rsidP="00A322AB">
            <w:pPr>
              <w:suppressAutoHyphens/>
              <w:jc w:val="both"/>
              <w:rPr>
                <w:lang w:eastAsia="zh-CN"/>
              </w:rPr>
            </w:pPr>
            <w:r w:rsidRPr="00AF04A7">
              <w:rPr>
                <w:lang w:eastAsia="zh-CN"/>
              </w:rPr>
              <w:t xml:space="preserve">за счет средств бюджета Республики Карелия – </w:t>
            </w:r>
            <w:r w:rsidR="00E002D0">
              <w:rPr>
                <w:lang w:eastAsia="zh-CN"/>
              </w:rPr>
              <w:t xml:space="preserve">1 237,30 </w:t>
            </w:r>
            <w:r w:rsidRPr="00AF04A7">
              <w:rPr>
                <w:lang w:eastAsia="zh-CN"/>
              </w:rPr>
              <w:t xml:space="preserve"> тыс. рублей, в том числе по годам:</w:t>
            </w:r>
          </w:p>
          <w:p w:rsidR="00103158" w:rsidRPr="002F5C28" w:rsidRDefault="00103158" w:rsidP="00A322AB">
            <w:pPr>
              <w:suppressAutoHyphens/>
              <w:jc w:val="both"/>
              <w:rPr>
                <w:lang w:eastAsia="zh-CN"/>
              </w:rPr>
            </w:pPr>
            <w:r w:rsidRPr="002F5C28">
              <w:rPr>
                <w:lang w:eastAsia="zh-CN"/>
              </w:rPr>
              <w:t xml:space="preserve">2026 год – </w:t>
            </w:r>
            <w:r w:rsidR="00E002D0">
              <w:rPr>
                <w:lang w:eastAsia="zh-CN"/>
              </w:rPr>
              <w:t xml:space="preserve">471,60 </w:t>
            </w:r>
            <w:r w:rsidRPr="002F5C28">
              <w:rPr>
                <w:lang w:eastAsia="zh-CN"/>
              </w:rPr>
              <w:t xml:space="preserve"> тыс. рублей;</w:t>
            </w:r>
          </w:p>
          <w:p w:rsidR="00103158" w:rsidRPr="002F5C28" w:rsidRDefault="00103158" w:rsidP="00A322AB">
            <w:pPr>
              <w:suppressAutoHyphens/>
              <w:jc w:val="both"/>
              <w:rPr>
                <w:lang w:eastAsia="zh-CN"/>
              </w:rPr>
            </w:pPr>
            <w:r w:rsidRPr="002F5C28">
              <w:rPr>
                <w:lang w:eastAsia="zh-CN"/>
              </w:rPr>
              <w:t xml:space="preserve">2027 год – </w:t>
            </w:r>
            <w:r w:rsidR="00E002D0">
              <w:rPr>
                <w:lang w:eastAsia="zh-CN"/>
              </w:rPr>
              <w:t xml:space="preserve">368,80 </w:t>
            </w:r>
            <w:r w:rsidRPr="002F5C28">
              <w:rPr>
                <w:lang w:eastAsia="zh-CN"/>
              </w:rPr>
              <w:t xml:space="preserve"> тыс. рублей;</w:t>
            </w:r>
          </w:p>
          <w:p w:rsidR="00103158" w:rsidRDefault="00103158" w:rsidP="00A322AB">
            <w:pPr>
              <w:suppressAutoHyphens/>
              <w:jc w:val="both"/>
              <w:rPr>
                <w:lang w:eastAsia="zh-CN"/>
              </w:rPr>
            </w:pPr>
            <w:r w:rsidRPr="002F5C28">
              <w:rPr>
                <w:lang w:eastAsia="zh-CN"/>
              </w:rPr>
              <w:t xml:space="preserve">2028 год – </w:t>
            </w:r>
            <w:r w:rsidR="00E002D0">
              <w:rPr>
                <w:lang w:eastAsia="zh-CN"/>
              </w:rPr>
              <w:t xml:space="preserve"> 396,90</w:t>
            </w:r>
            <w:r w:rsidRPr="002F5C28">
              <w:rPr>
                <w:lang w:eastAsia="zh-CN"/>
              </w:rPr>
              <w:t xml:space="preserve"> тыс. рублей;</w:t>
            </w:r>
          </w:p>
          <w:p w:rsidR="00E002D0" w:rsidRPr="00AF04A7" w:rsidRDefault="00E002D0" w:rsidP="00E002D0">
            <w:pPr>
              <w:suppressAutoHyphens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За счет средств федерального бюджета – 5 976,10 </w:t>
            </w:r>
            <w:r w:rsidRPr="00AF04A7">
              <w:rPr>
                <w:lang w:eastAsia="zh-CN"/>
              </w:rPr>
              <w:t>тыс. рублей, в том числе по годам:</w:t>
            </w:r>
          </w:p>
          <w:p w:rsidR="00E002D0" w:rsidRPr="002F5C28" w:rsidRDefault="00E002D0" w:rsidP="00E002D0">
            <w:pPr>
              <w:suppressAutoHyphens/>
              <w:jc w:val="both"/>
              <w:rPr>
                <w:lang w:eastAsia="zh-CN"/>
              </w:rPr>
            </w:pPr>
            <w:r w:rsidRPr="002F5C28">
              <w:rPr>
                <w:lang w:eastAsia="zh-CN"/>
              </w:rPr>
              <w:t xml:space="preserve">2026 год – </w:t>
            </w:r>
            <w:r>
              <w:rPr>
                <w:lang w:eastAsia="zh-CN"/>
              </w:rPr>
              <w:t xml:space="preserve"> 1 688,10</w:t>
            </w:r>
            <w:r w:rsidRPr="002F5C28">
              <w:rPr>
                <w:lang w:eastAsia="zh-CN"/>
              </w:rPr>
              <w:t xml:space="preserve"> тыс. рублей;</w:t>
            </w:r>
          </w:p>
          <w:p w:rsidR="00E002D0" w:rsidRPr="002F5C28" w:rsidRDefault="00E002D0" w:rsidP="00E002D0">
            <w:pPr>
              <w:suppressAutoHyphens/>
              <w:jc w:val="both"/>
              <w:rPr>
                <w:lang w:eastAsia="zh-CN"/>
              </w:rPr>
            </w:pPr>
            <w:r w:rsidRPr="002F5C28">
              <w:rPr>
                <w:lang w:eastAsia="zh-CN"/>
              </w:rPr>
              <w:t>2027 год –</w:t>
            </w:r>
            <w:r>
              <w:rPr>
                <w:lang w:eastAsia="zh-CN"/>
              </w:rPr>
              <w:t xml:space="preserve"> 1 877,10 </w:t>
            </w:r>
            <w:r w:rsidRPr="002F5C28">
              <w:rPr>
                <w:lang w:eastAsia="zh-CN"/>
              </w:rPr>
              <w:t>тыс. рублей;</w:t>
            </w:r>
          </w:p>
          <w:p w:rsidR="00E002D0" w:rsidRDefault="00E002D0" w:rsidP="00E002D0">
            <w:pPr>
              <w:suppressAutoHyphens/>
              <w:jc w:val="both"/>
              <w:rPr>
                <w:lang w:eastAsia="zh-CN"/>
              </w:rPr>
            </w:pPr>
            <w:r w:rsidRPr="002F5C28">
              <w:rPr>
                <w:lang w:eastAsia="zh-CN"/>
              </w:rPr>
              <w:t xml:space="preserve">2028 год – </w:t>
            </w:r>
            <w:r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2 410,90 </w:t>
            </w:r>
            <w:bookmarkStart w:id="0" w:name="_GoBack"/>
            <w:bookmarkEnd w:id="0"/>
            <w:r w:rsidRPr="002F5C28">
              <w:rPr>
                <w:lang w:eastAsia="zh-CN"/>
              </w:rPr>
              <w:t>тыс. рублей;</w:t>
            </w:r>
          </w:p>
          <w:p w:rsidR="00103158" w:rsidRPr="007839A8" w:rsidRDefault="00103158" w:rsidP="00A322AB">
            <w:pPr>
              <w:suppressAutoHyphens/>
              <w:jc w:val="both"/>
              <w:rPr>
                <w:lang w:eastAsia="zh-CN"/>
              </w:rPr>
            </w:pPr>
            <w:r w:rsidRPr="00AF04A7">
              <w:rPr>
                <w:lang w:eastAsia="zh-CN"/>
              </w:rPr>
              <w:t xml:space="preserve">Объемы финансирования будут уточняться ежегодно при формировании бюджета муниципального </w:t>
            </w:r>
            <w:r>
              <w:rPr>
                <w:lang w:eastAsia="zh-CN"/>
              </w:rPr>
              <w:t>округа</w:t>
            </w:r>
            <w:r w:rsidRPr="00AF04A7">
              <w:rPr>
                <w:lang w:eastAsia="zh-CN"/>
              </w:rPr>
              <w:t xml:space="preserve"> на соответствующий год и плановый период.</w:t>
            </w:r>
          </w:p>
        </w:tc>
      </w:tr>
    </w:tbl>
    <w:p w:rsidR="00103158" w:rsidRDefault="00103158" w:rsidP="00103158">
      <w:pPr>
        <w:rPr>
          <w:sz w:val="22"/>
          <w:szCs w:val="22"/>
        </w:rPr>
      </w:pPr>
    </w:p>
    <w:p w:rsidR="008D59D7" w:rsidRDefault="008D59D7"/>
    <w:sectPr w:rsidR="008D5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58"/>
    <w:rsid w:val="00103158"/>
    <w:rsid w:val="008D59D7"/>
    <w:rsid w:val="00E002D0"/>
    <w:rsid w:val="00F6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5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315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5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315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2025-10-30T07:09:00Z</cp:lastPrinted>
  <dcterms:created xsi:type="dcterms:W3CDTF">2025-10-29T15:22:00Z</dcterms:created>
  <dcterms:modified xsi:type="dcterms:W3CDTF">2025-11-12T07:42:00Z</dcterms:modified>
</cp:coreProperties>
</file>